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3D" w:rsidRDefault="0081163D">
      <w:pPr>
        <w:widowControl w:val="0"/>
        <w:spacing w:line="283" w:lineRule="exact"/>
        <w:jc w:val="center"/>
      </w:pPr>
      <w:r>
        <w:rPr>
          <w:rFonts w:ascii="Times New Roman" w:eastAsia="Calibri" w:hAnsi="Times New Roman" w:cs="Times New Roman"/>
          <w:b/>
        </w:rPr>
        <w:t>Igazságügyi igazgatás</w:t>
      </w:r>
    </w:p>
    <w:p w:rsidR="0081163D" w:rsidRDefault="0081163D">
      <w:pPr>
        <w:widowControl w:val="0"/>
        <w:spacing w:line="283" w:lineRule="exact"/>
        <w:jc w:val="center"/>
      </w:pPr>
      <w:proofErr w:type="gramStart"/>
      <w:r>
        <w:rPr>
          <w:rFonts w:ascii="Times New Roman" w:eastAsia="Calibri" w:hAnsi="Times New Roman" w:cs="Times New Roman"/>
          <w:b/>
        </w:rPr>
        <w:t>záróvizsga</w:t>
      </w:r>
      <w:proofErr w:type="gramEnd"/>
      <w:r>
        <w:rPr>
          <w:rFonts w:ascii="Times New Roman" w:eastAsia="Calibri" w:hAnsi="Times New Roman" w:cs="Times New Roman"/>
          <w:b/>
        </w:rPr>
        <w:t xml:space="preserve"> tételsor</w:t>
      </w:r>
    </w:p>
    <w:p w:rsidR="0081163D" w:rsidRDefault="0081163D">
      <w:pPr>
        <w:widowControl w:val="0"/>
        <w:spacing w:line="283" w:lineRule="exact"/>
        <w:jc w:val="center"/>
      </w:pPr>
      <w:r>
        <w:rPr>
          <w:rFonts w:ascii="Times New Roman" w:eastAsia="Calibri" w:hAnsi="Times New Roman" w:cs="Times New Roman"/>
          <w:b/>
        </w:rPr>
        <w:t>201</w:t>
      </w:r>
      <w:r w:rsidR="00810A44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>/201</w:t>
      </w:r>
      <w:r w:rsidR="00810A44">
        <w:rPr>
          <w:rFonts w:ascii="Times New Roman" w:eastAsia="Calibri" w:hAnsi="Times New Roman" w:cs="Times New Roman"/>
          <w:b/>
        </w:rPr>
        <w:t>9</w:t>
      </w:r>
      <w:r w:rsidR="00A757EB">
        <w:rPr>
          <w:rFonts w:ascii="Times New Roman" w:eastAsia="Calibri" w:hAnsi="Times New Roman" w:cs="Times New Roman"/>
          <w:b/>
        </w:rPr>
        <w:t>/2</w:t>
      </w:r>
    </w:p>
    <w:p w:rsidR="0081163D" w:rsidRDefault="0081163D">
      <w:pPr>
        <w:widowControl w:val="0"/>
        <w:spacing w:line="283" w:lineRule="exact"/>
        <w:jc w:val="center"/>
        <w:rPr>
          <w:rFonts w:ascii="Times New Roman" w:hAnsi="Times New Roman" w:cs="Times New Roman"/>
        </w:rPr>
      </w:pPr>
    </w:p>
    <w:p w:rsidR="00A757EB" w:rsidRDefault="00A757EB" w:rsidP="00A757EB">
      <w:pPr>
        <w:widowControl w:val="0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Közigazgatási szervezet és eljárások</w:t>
      </w:r>
    </w:p>
    <w:p w:rsidR="00A757EB" w:rsidRDefault="00A757EB" w:rsidP="00A757EB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757EB" w:rsidRDefault="00A757EB" w:rsidP="000D2584">
      <w:pPr>
        <w:pStyle w:val="Szvegtrzs"/>
        <w:widowControl w:val="0"/>
        <w:spacing w:after="200" w:line="276" w:lineRule="auto"/>
        <w:ind w:left="705" w:hanging="705"/>
        <w:jc w:val="both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 xml:space="preserve">A közigazgatási szervezet általános szervezési elvei, alrendszerei. A közigazgatási szerv </w:t>
      </w:r>
      <w:r>
        <w:rPr>
          <w:rFonts w:ascii="Times New Roman" w:hAnsi="Times New Roman"/>
        </w:rPr>
        <w:tab/>
        <w:t xml:space="preserve">fogalma. A központi államigazgatási szervek: minisztériumok, miniszterek és a tárca nélküli </w:t>
      </w:r>
      <w:r>
        <w:rPr>
          <w:rFonts w:ascii="Times New Roman" w:hAnsi="Times New Roman"/>
        </w:rPr>
        <w:tab/>
        <w:t xml:space="preserve">miniszterek, </w:t>
      </w:r>
      <w:r w:rsidR="000D2584">
        <w:rPr>
          <w:rFonts w:ascii="Times New Roman" w:hAnsi="Times New Roman"/>
        </w:rPr>
        <w:t>kormányzati főhivatalok</w:t>
      </w:r>
      <w:r>
        <w:rPr>
          <w:rFonts w:ascii="Times New Roman" w:hAnsi="Times New Roman"/>
        </w:rPr>
        <w:t>, a központi hivatalok, a r</w:t>
      </w:r>
      <w:r w:rsidR="000D2584">
        <w:rPr>
          <w:rFonts w:ascii="Times New Roman" w:hAnsi="Times New Roman"/>
        </w:rPr>
        <w:t xml:space="preserve">endvédelmi szervek, az autonóm </w:t>
      </w:r>
      <w:r>
        <w:rPr>
          <w:rFonts w:ascii="Times New Roman" w:hAnsi="Times New Roman"/>
        </w:rPr>
        <w:t xml:space="preserve">államigazgatási szervek, az önálló szabályozó szervek. </w:t>
      </w:r>
    </w:p>
    <w:p w:rsidR="00A757EB" w:rsidRDefault="00A757EB" w:rsidP="00A757EB">
      <w:pPr>
        <w:pStyle w:val="Szvegtrzs"/>
        <w:ind w:left="705" w:hanging="705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Az államigazgatási területi szervei. A fővárosi és megyei kormányhivatal integrációjának folyamata, szervezete, feladat- és hatáskörei. A helyi önkormányzatok törvényességi felügyelete.</w:t>
      </w:r>
    </w:p>
    <w:p w:rsidR="00A757EB" w:rsidRDefault="00A757EB" w:rsidP="00A757EB">
      <w:pPr>
        <w:pStyle w:val="Szvegtrzs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A helyi önkormányzás alapjai, önkormányzattípusok. A települési önkormányzati feladat- és </w:t>
      </w:r>
      <w:r>
        <w:rPr>
          <w:rFonts w:ascii="Times New Roman" w:hAnsi="Times New Roman"/>
        </w:rPr>
        <w:tab/>
        <w:t xml:space="preserve">hatáskörök. A települési önkormányzatok szervei és működésük: képviselő-testület, társult </w:t>
      </w:r>
      <w:r>
        <w:rPr>
          <w:rFonts w:ascii="Times New Roman" w:hAnsi="Times New Roman"/>
        </w:rPr>
        <w:tab/>
        <w:t xml:space="preserve">képviselő-testület, a képviselő-testület bizottságai, tisztségviselők: polgármester, </w:t>
      </w:r>
      <w:r>
        <w:rPr>
          <w:rFonts w:ascii="Times New Roman" w:hAnsi="Times New Roman"/>
        </w:rPr>
        <w:tab/>
        <w:t>alpolgármester, jegyző, aljegyző. A polgármesteri hivatal, a közös önkormányzati hivatal.</w:t>
      </w:r>
    </w:p>
    <w:p w:rsidR="00A757EB" w:rsidRDefault="00A757EB" w:rsidP="00A757EB">
      <w:pPr>
        <w:pStyle w:val="Szvegtrzs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 w:rsidRPr="003869C6">
        <w:rPr>
          <w:rFonts w:ascii="Times New Roman" w:hAnsi="Times New Roman" w:cs="Times New Roman"/>
        </w:rPr>
        <w:t xml:space="preserve">A közigazgatási eljárás fogalma, fajtái. Az eljárási jog. A hatósági eljárás jogi szabályozása. Az </w:t>
      </w:r>
      <w:proofErr w:type="spellStart"/>
      <w:r w:rsidRPr="003869C6">
        <w:rPr>
          <w:rFonts w:ascii="Times New Roman" w:hAnsi="Times New Roman" w:cs="Times New Roman"/>
        </w:rPr>
        <w:t>Ákr</w:t>
      </w:r>
      <w:proofErr w:type="spellEnd"/>
      <w:r w:rsidRPr="003869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hatálya. Az eljárási jogviszony alanyai – a hatóság és az ügyfél – és a rájuk vonatkozó szabályok. Az ügyfél jogai az eljárásban. </w:t>
      </w:r>
    </w:p>
    <w:p w:rsidR="00A757EB" w:rsidRPr="003869C6" w:rsidRDefault="00A757EB" w:rsidP="00A757EB">
      <w:pPr>
        <w:pStyle w:val="Szvegtrzs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869C6">
        <w:rPr>
          <w:rFonts w:ascii="Times New Roman" w:hAnsi="Times New Roman" w:cs="Times New Roman"/>
        </w:rPr>
        <w:t>A hatósági eljárás szakaszai.</w:t>
      </w:r>
      <w:r>
        <w:rPr>
          <w:rFonts w:ascii="Times New Roman" w:hAnsi="Times New Roman" w:cs="Times New Roman"/>
        </w:rPr>
        <w:t xml:space="preserve"> Az </w:t>
      </w:r>
      <w:proofErr w:type="spellStart"/>
      <w:r>
        <w:rPr>
          <w:rFonts w:ascii="Times New Roman" w:hAnsi="Times New Roman" w:cs="Times New Roman"/>
        </w:rPr>
        <w:t>Ákr.-ben</w:t>
      </w:r>
      <w:proofErr w:type="spellEnd"/>
      <w:r>
        <w:rPr>
          <w:rFonts w:ascii="Times New Roman" w:hAnsi="Times New Roman" w:cs="Times New Roman"/>
        </w:rPr>
        <w:t xml:space="preserve"> szabályozott eljárástípusok.</w:t>
      </w:r>
      <w:r w:rsidRPr="0038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eljárás megindítása, kapcsolattartás, a </w:t>
      </w:r>
      <w:r w:rsidRPr="003869C6">
        <w:rPr>
          <w:rFonts w:ascii="Times New Roman" w:hAnsi="Times New Roman" w:cs="Times New Roman"/>
        </w:rPr>
        <w:t>ké</w:t>
      </w:r>
      <w:r>
        <w:rPr>
          <w:rFonts w:ascii="Times New Roman" w:hAnsi="Times New Roman" w:cs="Times New Roman"/>
        </w:rPr>
        <w:t>relem visszautasítása</w:t>
      </w:r>
      <w:r w:rsidRPr="003869C6">
        <w:rPr>
          <w:rFonts w:ascii="Times New Roman" w:hAnsi="Times New Roman" w:cs="Times New Roman"/>
        </w:rPr>
        <w:t xml:space="preserve">, az eljárás megszüntetése, az eljárás felfüggesztése. </w:t>
      </w:r>
    </w:p>
    <w:p w:rsidR="00A757EB" w:rsidRDefault="00A757EB" w:rsidP="00A757EB">
      <w:pPr>
        <w:pStyle w:val="Szvegtrzs"/>
        <w:jc w:val="both"/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  <w:t>A tényállás tisztázása és a bizonyítás.</w:t>
      </w:r>
    </w:p>
    <w:p w:rsidR="00A757EB" w:rsidRDefault="00A757EB" w:rsidP="00A757EB">
      <w:pPr>
        <w:pStyle w:val="Szvegtrzs"/>
        <w:ind w:left="705" w:hanging="705"/>
        <w:jc w:val="both"/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 xml:space="preserve">A hatóság döntései: határozat, végzés, hatósági szerződés. A hatósági igazolvány, </w:t>
      </w:r>
      <w:r>
        <w:rPr>
          <w:rFonts w:ascii="Times New Roman" w:hAnsi="Times New Roman"/>
        </w:rPr>
        <w:tab/>
        <w:t>bizonyítvány és nyilvántartás. A döntések közlése. A döntés véglegessége. A semmisség a közigazgatási hatósági eljárásban.</w:t>
      </w:r>
    </w:p>
    <w:p w:rsidR="00A757EB" w:rsidRDefault="00A757EB" w:rsidP="00A757EB">
      <w:pPr>
        <w:pStyle w:val="Szvegtrzs"/>
        <w:ind w:left="705" w:hanging="705"/>
        <w:jc w:val="both"/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  <w:t>A jogorvoslati eljárások áttekintése, rendszerezése. A közigazgatási rendszeren belüli jogorvoslatok.</w:t>
      </w:r>
    </w:p>
    <w:p w:rsidR="00A757EB" w:rsidRDefault="00A757EB" w:rsidP="00A757EB">
      <w:pPr>
        <w:pStyle w:val="Szvegtrzs"/>
        <w:jc w:val="both"/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>A közigazgatáson kívüli jogorvoslat, a közigazgatási per.</w:t>
      </w:r>
    </w:p>
    <w:p w:rsidR="0081163D" w:rsidRDefault="0081163D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A757EB" w:rsidRDefault="00A757EB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81163D" w:rsidRDefault="0081163D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81163D" w:rsidRDefault="0081163D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81163D" w:rsidRDefault="0081163D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81163D" w:rsidRDefault="0081163D">
      <w:pPr>
        <w:widowControl w:val="0"/>
        <w:spacing w:after="200" w:line="276" w:lineRule="auto"/>
        <w:jc w:val="both"/>
        <w:rPr>
          <w:rFonts w:ascii="Times New Roman" w:hAnsi="Times New Roman"/>
        </w:rPr>
      </w:pPr>
    </w:p>
    <w:p w:rsidR="003463E1" w:rsidRDefault="003463E1">
      <w:pPr>
        <w:widowControl w:val="0"/>
        <w:spacing w:after="20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Calibri" w:hAnsi="Times New Roman" w:cs="Times New Roman"/>
          <w:b/>
        </w:rPr>
        <w:lastRenderedPageBreak/>
        <w:t>P</w:t>
      </w:r>
      <w:r>
        <w:rPr>
          <w:rFonts w:ascii="Times New Roman" w:eastAsia="Times New Roman" w:hAnsi="Times New Roman" w:cs="Times New Roman"/>
          <w:b/>
        </w:rPr>
        <w:t xml:space="preserve">olgári peres és </w:t>
      </w:r>
      <w:proofErr w:type="spellStart"/>
      <w:r>
        <w:rPr>
          <w:rFonts w:ascii="Times New Roman" w:eastAsia="Times New Roman" w:hAnsi="Times New Roman" w:cs="Times New Roman"/>
          <w:b/>
        </w:rPr>
        <w:t>nemperes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eljárások</w:t>
      </w:r>
    </w:p>
    <w:p w:rsidR="00A757EB" w:rsidRDefault="00A757EB" w:rsidP="00A757EB">
      <w:pPr>
        <w:widowControl w:val="0"/>
        <w:spacing w:line="283" w:lineRule="exact"/>
        <w:jc w:val="both"/>
      </w:pP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hAnsi="Times New Roman" w:cs="Times New Roman"/>
        </w:rPr>
      </w:pPr>
    </w:p>
    <w:p w:rsidR="00A757EB" w:rsidRDefault="00EF31B3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10</w:t>
      </w:r>
      <w:r w:rsidR="00A757EB">
        <w:rPr>
          <w:rFonts w:ascii="Times New Roman" w:eastAsia="Times New Roman" w:hAnsi="Times New Roman" w:cs="Times New Roman"/>
        </w:rPr>
        <w:t>.</w:t>
      </w:r>
      <w:r w:rsidR="00A757EB">
        <w:rPr>
          <w:rFonts w:ascii="Times New Roman" w:eastAsia="Times New Roman" w:hAnsi="Times New Roman" w:cs="Times New Roman"/>
        </w:rPr>
        <w:tab/>
        <w:t xml:space="preserve">A polgári eljárás fogalmának egyes ismérvei és szakaszai. A különleges perek köre. A </w:t>
      </w:r>
      <w:r w:rsidR="00A757EB">
        <w:rPr>
          <w:rFonts w:ascii="Times New Roman" w:eastAsia="Times New Roman" w:hAnsi="Times New Roman" w:cs="Times New Roman"/>
        </w:rPr>
        <w:tab/>
        <w:t xml:space="preserve">polgári per és a polgári </w:t>
      </w:r>
      <w:proofErr w:type="spellStart"/>
      <w:r w:rsidR="00A757EB">
        <w:rPr>
          <w:rFonts w:ascii="Times New Roman" w:eastAsia="Times New Roman" w:hAnsi="Times New Roman" w:cs="Times New Roman"/>
        </w:rPr>
        <w:t>nemperes</w:t>
      </w:r>
      <w:proofErr w:type="spellEnd"/>
      <w:r w:rsidR="00A757EB">
        <w:rPr>
          <w:rFonts w:ascii="Times New Roman" w:eastAsia="Times New Roman" w:hAnsi="Times New Roman" w:cs="Times New Roman"/>
        </w:rPr>
        <w:t xml:space="preserve"> eljárás elhatárolása. Az egyes polgári </w:t>
      </w:r>
      <w:proofErr w:type="spellStart"/>
      <w:r w:rsidR="00A757EB">
        <w:rPr>
          <w:rFonts w:ascii="Times New Roman" w:eastAsia="Times New Roman" w:hAnsi="Times New Roman" w:cs="Times New Roman"/>
        </w:rPr>
        <w:t>nemperes</w:t>
      </w:r>
      <w:proofErr w:type="spellEnd"/>
      <w:r w:rsidR="00A757EB">
        <w:rPr>
          <w:rFonts w:ascii="Times New Roman" w:eastAsia="Times New Roman" w:hAnsi="Times New Roman" w:cs="Times New Roman"/>
        </w:rPr>
        <w:t xml:space="preserve"> eljárások </w:t>
      </w:r>
      <w:r w:rsidR="00A757EB">
        <w:rPr>
          <w:rFonts w:ascii="Times New Roman" w:eastAsia="Times New Roman" w:hAnsi="Times New Roman" w:cs="Times New Roman"/>
        </w:rPr>
        <w:tab/>
        <w:t xml:space="preserve">rendszertani áttekintése 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  <w:t xml:space="preserve">A polgári ügyekben eljáró bíróságok 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>(szervezet, joghatóság, hatáskör, illetékesség, eljáró bíróság összetétele, és a bírák kizárása)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 felek és más perbeli személyek, a perbeli képviselet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 xml:space="preserve">(perképesség, pertársaság, beavatkozás, változás a felek személyében, a perbeli képviselet </w:t>
      </w:r>
      <w:r>
        <w:rPr>
          <w:rFonts w:ascii="Times New Roman" w:eastAsia="Times New Roman" w:hAnsi="Times New Roman" w:cs="Times New Roman"/>
        </w:rPr>
        <w:tab/>
        <w:t>fajai)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 perköltség és a költségkedvezmények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 xml:space="preserve">(perköltség fogalma, költségek előlegezése, perköltség-viselés általános és kivételes </w:t>
      </w:r>
      <w:r>
        <w:rPr>
          <w:rFonts w:ascii="Times New Roman" w:eastAsia="Times New Roman" w:hAnsi="Times New Roman" w:cs="Times New Roman"/>
        </w:rPr>
        <w:tab/>
        <w:t>szabályai, költségkedvezmények célja és fajai, tartalma, engedélyezése)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Az elsőfokú eljárás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 xml:space="preserve">(keresetlevél, keresetlevél visszautasítása, írásbeli ellenkérelem, bírósági meghagyás, osztott </w:t>
      </w:r>
      <w:r>
        <w:rPr>
          <w:rFonts w:ascii="Times New Roman" w:eastAsia="Times New Roman" w:hAnsi="Times New Roman" w:cs="Times New Roman"/>
        </w:rPr>
        <w:tab/>
        <w:t>perszerkezet, perfelvétel menete, az érdemi tárgyalási szak, perfelvételi iratok)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 bizonyítás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 xml:space="preserve">(fogalma, bizonyítási érdek és bizonyítási teher, bizonyítási eszközök és a </w:t>
      </w:r>
      <w:r>
        <w:rPr>
          <w:rFonts w:ascii="Times New Roman" w:eastAsia="Times New Roman" w:hAnsi="Times New Roman" w:cs="Times New Roman"/>
        </w:rPr>
        <w:tab/>
        <w:t>bizonyítékok)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 xml:space="preserve">A határozatok (osztályozása, közlése és orvoslása, bírósági határozatokhoz fűződő </w:t>
      </w:r>
      <w:r>
        <w:rPr>
          <w:rFonts w:ascii="Times New Roman" w:eastAsia="Times New Roman" w:hAnsi="Times New Roman" w:cs="Times New Roman"/>
        </w:rPr>
        <w:tab/>
        <w:t>joghatások) és a perorvoslatok (osztályozása, a fellebbezés, a perújítás és a felülvizsgálat)</w:t>
      </w:r>
    </w:p>
    <w:p w:rsidR="00A757EB" w:rsidRDefault="00A757EB" w:rsidP="00A757EB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</w:rPr>
      </w:pP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>1</w:t>
      </w:r>
      <w:r w:rsidR="00EF31B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Az eljárás folyamatossága előtti akadályok</w:t>
      </w:r>
    </w:p>
    <w:p w:rsidR="00A757EB" w:rsidRDefault="00A757EB" w:rsidP="00A757EB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</w:rPr>
        <w:tab/>
        <w:t>(perelőfeltételek, akadályok az eljárás menetében, eljárás megszüntetés)</w:t>
      </w:r>
    </w:p>
    <w:p w:rsidR="0081163D" w:rsidRDefault="0081163D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  <w:b/>
        </w:rPr>
      </w:pPr>
    </w:p>
    <w:p w:rsidR="0081163D" w:rsidRDefault="0081163D">
      <w:pPr>
        <w:widowControl w:val="0"/>
        <w:spacing w:line="283" w:lineRule="exact"/>
        <w:jc w:val="both"/>
        <w:rPr>
          <w:rFonts w:ascii="Times New Roman" w:eastAsia="Times New Roman" w:hAnsi="Times New Roman" w:cs="Times New Roman"/>
          <w:b/>
        </w:rPr>
      </w:pPr>
    </w:p>
    <w:p w:rsidR="0081163D" w:rsidRDefault="0081163D">
      <w:pPr>
        <w:widowControl w:val="0"/>
        <w:spacing w:line="283" w:lineRule="exact"/>
        <w:jc w:val="both"/>
      </w:pPr>
      <w:r>
        <w:rPr>
          <w:rFonts w:ascii="Times New Roman" w:eastAsia="Times New Roman" w:hAnsi="Times New Roman" w:cs="Times New Roman"/>
          <w:b/>
        </w:rPr>
        <w:t>Büntetőeljárás alapjai</w:t>
      </w:r>
    </w:p>
    <w:p w:rsidR="0081163D" w:rsidRDefault="0081163D">
      <w:pPr>
        <w:pStyle w:val="Nincstrkz"/>
        <w:spacing w:line="283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EF31B3">
        <w:rPr>
          <w:rFonts w:ascii="Times New Roman" w:eastAsia="Times New Roman" w:hAnsi="Times New Roman" w:cs="Times New Roman"/>
          <w:sz w:val="24"/>
        </w:rPr>
        <w:t>8</w:t>
      </w:r>
      <w:r w:rsidR="0081163D">
        <w:rPr>
          <w:rFonts w:ascii="Times New Roman" w:eastAsia="Times New Roman" w:hAnsi="Times New Roman" w:cs="Times New Roman"/>
          <w:sz w:val="24"/>
        </w:rPr>
        <w:t xml:space="preserve">. </w:t>
      </w:r>
      <w:r w:rsidR="0081163D">
        <w:rPr>
          <w:rFonts w:ascii="Times New Roman" w:eastAsia="Times New Roman" w:hAnsi="Times New Roman" w:cs="Times New Roman"/>
          <w:sz w:val="24"/>
        </w:rPr>
        <w:tab/>
        <w:t>A büntetőeljárási jog fogalma, forrásai, történeti rendszerei, a Be. Hatálya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EF31B3">
        <w:rPr>
          <w:rFonts w:ascii="Times New Roman" w:eastAsia="Times New Roman" w:hAnsi="Times New Roman" w:cs="Times New Roman"/>
          <w:sz w:val="24"/>
        </w:rPr>
        <w:t>9</w:t>
      </w:r>
      <w:r w:rsidR="00427B3C">
        <w:rPr>
          <w:rFonts w:ascii="Times New Roman" w:eastAsia="Times New Roman" w:hAnsi="Times New Roman" w:cs="Times New Roman"/>
          <w:sz w:val="24"/>
        </w:rPr>
        <w:t>.</w:t>
      </w:r>
      <w:r w:rsidR="0081163D">
        <w:rPr>
          <w:rFonts w:ascii="Times New Roman" w:eastAsia="Times New Roman" w:hAnsi="Times New Roman" w:cs="Times New Roman"/>
          <w:sz w:val="24"/>
        </w:rPr>
        <w:tab/>
        <w:t>A büntetőeljárási jog alapelvei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EF31B3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20</w:t>
      </w:r>
      <w:r w:rsidR="0081163D">
        <w:rPr>
          <w:rFonts w:ascii="Times New Roman" w:eastAsia="Times New Roman" w:hAnsi="Times New Roman" w:cs="Times New Roman"/>
          <w:sz w:val="24"/>
        </w:rPr>
        <w:t>.</w:t>
      </w:r>
      <w:r w:rsidR="0081163D">
        <w:rPr>
          <w:rFonts w:ascii="Times New Roman" w:eastAsia="Times New Roman" w:hAnsi="Times New Roman" w:cs="Times New Roman"/>
          <w:sz w:val="24"/>
        </w:rPr>
        <w:tab/>
        <w:t>A büntetőeljárás alanyai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F31B3">
        <w:rPr>
          <w:rFonts w:ascii="Times New Roman" w:eastAsia="Times New Roman" w:hAnsi="Times New Roman" w:cs="Times New Roman"/>
          <w:sz w:val="24"/>
        </w:rPr>
        <w:t>1</w:t>
      </w:r>
      <w:r w:rsidR="0081163D">
        <w:rPr>
          <w:rFonts w:ascii="Times New Roman" w:eastAsia="Times New Roman" w:hAnsi="Times New Roman" w:cs="Times New Roman"/>
          <w:sz w:val="24"/>
        </w:rPr>
        <w:t xml:space="preserve">. </w:t>
      </w:r>
      <w:r w:rsidR="0081163D">
        <w:rPr>
          <w:rFonts w:ascii="Times New Roman" w:eastAsia="Times New Roman" w:hAnsi="Times New Roman" w:cs="Times New Roman"/>
          <w:sz w:val="24"/>
        </w:rPr>
        <w:tab/>
        <w:t>A bizonyítás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F31B3">
        <w:rPr>
          <w:rFonts w:ascii="Times New Roman" w:eastAsia="Times New Roman" w:hAnsi="Times New Roman" w:cs="Times New Roman"/>
          <w:sz w:val="24"/>
        </w:rPr>
        <w:t>2</w:t>
      </w:r>
      <w:r w:rsidR="0081163D">
        <w:rPr>
          <w:rFonts w:ascii="Times New Roman" w:eastAsia="Times New Roman" w:hAnsi="Times New Roman" w:cs="Times New Roman"/>
          <w:sz w:val="24"/>
        </w:rPr>
        <w:t xml:space="preserve">. </w:t>
      </w:r>
      <w:r w:rsidR="0081163D">
        <w:rPr>
          <w:rFonts w:ascii="Times New Roman" w:eastAsia="Times New Roman" w:hAnsi="Times New Roman" w:cs="Times New Roman"/>
          <w:sz w:val="24"/>
        </w:rPr>
        <w:tab/>
        <w:t>A kényszerintézkedések és az általános eljárásjogi fogalmak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F31B3">
        <w:rPr>
          <w:rFonts w:ascii="Times New Roman" w:eastAsia="Times New Roman" w:hAnsi="Times New Roman" w:cs="Times New Roman"/>
          <w:sz w:val="24"/>
        </w:rPr>
        <w:t>3</w:t>
      </w:r>
      <w:r w:rsidR="0081163D">
        <w:rPr>
          <w:rFonts w:ascii="Times New Roman" w:eastAsia="Times New Roman" w:hAnsi="Times New Roman" w:cs="Times New Roman"/>
          <w:sz w:val="24"/>
        </w:rPr>
        <w:t xml:space="preserve">. </w:t>
      </w:r>
      <w:r w:rsidR="0081163D">
        <w:rPr>
          <w:rFonts w:ascii="Times New Roman" w:eastAsia="Times New Roman" w:hAnsi="Times New Roman" w:cs="Times New Roman"/>
          <w:sz w:val="24"/>
        </w:rPr>
        <w:tab/>
        <w:t>A nyomozás és az ügyészi szak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F31B3">
        <w:rPr>
          <w:rFonts w:ascii="Times New Roman" w:eastAsia="Times New Roman" w:hAnsi="Times New Roman" w:cs="Times New Roman"/>
          <w:sz w:val="24"/>
        </w:rPr>
        <w:t>4</w:t>
      </w:r>
      <w:r w:rsidR="005B605A">
        <w:rPr>
          <w:rFonts w:ascii="Times New Roman" w:eastAsia="Times New Roman" w:hAnsi="Times New Roman" w:cs="Times New Roman"/>
          <w:sz w:val="24"/>
        </w:rPr>
        <w:t>.</w:t>
      </w:r>
      <w:r w:rsidR="0081163D">
        <w:rPr>
          <w:rFonts w:ascii="Times New Roman" w:eastAsia="Times New Roman" w:hAnsi="Times New Roman" w:cs="Times New Roman"/>
          <w:sz w:val="24"/>
        </w:rPr>
        <w:t xml:space="preserve"> </w:t>
      </w:r>
      <w:r w:rsidR="0081163D">
        <w:rPr>
          <w:rFonts w:ascii="Times New Roman" w:eastAsia="Times New Roman" w:hAnsi="Times New Roman" w:cs="Times New Roman"/>
          <w:sz w:val="24"/>
        </w:rPr>
        <w:tab/>
        <w:t>A büntetőeljárás bírósági szakasza</w:t>
      </w:r>
    </w:p>
    <w:p w:rsidR="0081163D" w:rsidRDefault="0081163D">
      <w:pPr>
        <w:pStyle w:val="Nincstrkz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1163D" w:rsidRDefault="002E297D">
      <w:pPr>
        <w:pStyle w:val="Nincstrkz"/>
        <w:spacing w:line="283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F31B3">
        <w:rPr>
          <w:rFonts w:ascii="Times New Roman" w:eastAsia="Times New Roman" w:hAnsi="Times New Roman" w:cs="Times New Roman"/>
          <w:sz w:val="24"/>
        </w:rPr>
        <w:t>5</w:t>
      </w:r>
      <w:r w:rsidR="005B605A">
        <w:rPr>
          <w:rFonts w:ascii="Times New Roman" w:eastAsia="Times New Roman" w:hAnsi="Times New Roman" w:cs="Times New Roman"/>
          <w:sz w:val="24"/>
        </w:rPr>
        <w:t>.</w:t>
      </w:r>
      <w:r w:rsidR="0081163D">
        <w:rPr>
          <w:rFonts w:ascii="Times New Roman" w:eastAsia="Times New Roman" w:hAnsi="Times New Roman" w:cs="Times New Roman"/>
          <w:sz w:val="24"/>
        </w:rPr>
        <w:t xml:space="preserve"> </w:t>
      </w:r>
      <w:r w:rsidR="0081163D">
        <w:rPr>
          <w:rFonts w:ascii="Times New Roman" w:eastAsia="Times New Roman" w:hAnsi="Times New Roman" w:cs="Times New Roman"/>
          <w:sz w:val="24"/>
        </w:rPr>
        <w:tab/>
        <w:t>A jogorvoslati rendszer, a jogerő</w:t>
      </w:r>
    </w:p>
    <w:p w:rsidR="0081163D" w:rsidRDefault="0081163D">
      <w:pPr>
        <w:pStyle w:val="Nincstrkz"/>
        <w:spacing w:line="283" w:lineRule="exact"/>
        <w:jc w:val="both"/>
      </w:pPr>
    </w:p>
    <w:sectPr w:rsidR="008116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2"/>
    <w:rsid w:val="000D2584"/>
    <w:rsid w:val="002E297D"/>
    <w:rsid w:val="003463E1"/>
    <w:rsid w:val="00427B3C"/>
    <w:rsid w:val="005B605A"/>
    <w:rsid w:val="00810A44"/>
    <w:rsid w:val="0081163D"/>
    <w:rsid w:val="00A757EB"/>
    <w:rsid w:val="00B55EA8"/>
    <w:rsid w:val="00BF0822"/>
    <w:rsid w:val="00E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858D47-B816-4006-9FB7-2A6161B4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incstrkz">
    <w:name w:val="No Spacing"/>
    <w:qFormat/>
    <w:pPr>
      <w:suppressAutoHyphens/>
    </w:pPr>
    <w:rPr>
      <w:rFonts w:ascii="Calibri" w:eastAsia="Liberation Serif" w:hAnsi="Calibri" w:cs="Liberation Serif"/>
      <w:color w:val="000000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Huszkáné Pénzes Adél</dc:creator>
  <cp:lastModifiedBy>Huszkáné Pénzes Adél</cp:lastModifiedBy>
  <cp:revision>3</cp:revision>
  <cp:lastPrinted>1899-12-31T23:00:00Z</cp:lastPrinted>
  <dcterms:created xsi:type="dcterms:W3CDTF">2019-03-08T14:04:00Z</dcterms:created>
  <dcterms:modified xsi:type="dcterms:W3CDTF">2019-03-08T14:04:00Z</dcterms:modified>
</cp:coreProperties>
</file>